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淄川工业体系完整、产业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</w:rPr>
        <w:t>门类完备、协调配套完善，是胶济铁路经济带上一个重要的工业城市。自1904年德国人在淄川开矿采煤以来，近现代工业发展已达110多年，全国41个工业行业大类中有31个在淄川实现了规模化发展，形成了以机械、建材、纺织、化工以及新装备、新材料、新医药、新基建等为主导的现代产业体系。现有规上工业企业近300家，单项冠军、隐形小巨人等“专精特新”企业50家，高档色织布、氯化亚砜、头孢抗生素中间体、维生素C、氧氯化锆等十几个门类的工业产品在全国乃全球占有重要份额。历史上，淄川曾是新中国基础能源、原材料重要产地，据不完全统计，自1950年以来累计为国家贡献原煤3亿吨、铝土1518万吨、石灰石7亿吨、铁矿石1亿吨。2011年被公布为第三批国家资源枯竭城市，在全国资源枯竭城市转型绩效考核中5次获得“优秀”等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7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2023-05-16T09:00:03Z</dcterms:created>
  <dc:creator>Lenovo0</dc:creator>
  <cp:lastModifiedBy>Lenovo0</cp:lastModifiedBy>
  <dcterms:modified xsi:type="dcterms:W3CDTF">2023-05-16T09:00:15Z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