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52" w:lineRule="auto"/>
        <w:jc w:val="center"/>
        <w:textAlignment w:val="auto"/>
        <w:rPr>
          <w:rFonts w:hint="default" w:ascii="Times New Roman" w:hAnsi="Times New Roman" w:eastAsia="方正小标宋简体" w:cs="Times New Roman"/>
          <w:spacing w:val="16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spacing w:val="16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spacing w:val="16"/>
          <w:sz w:val="44"/>
          <w:szCs w:val="44"/>
          <w:lang w:val="en-US" w:eastAsia="zh-CN"/>
        </w:rPr>
        <w:t>淄博经济开发区产业发展</w:t>
      </w:r>
      <w:r>
        <w:rPr>
          <w:rFonts w:hint="default" w:ascii="Times New Roman" w:hAnsi="Times New Roman" w:eastAsia="方正小标宋简体" w:cs="Times New Roman"/>
          <w:spacing w:val="16"/>
          <w:sz w:val="44"/>
          <w:szCs w:val="44"/>
          <w:lang w:val="en-US" w:eastAsia="zh-CN"/>
        </w:rPr>
        <w:t>情况汇报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pacing w:val="16"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2" w:lineRule="auto"/>
        <w:ind w:firstLine="744" w:firstLineChars="200"/>
        <w:textAlignment w:val="auto"/>
        <w:rPr>
          <w:rFonts w:hint="default" w:ascii="Times New Roman" w:hAnsi="Times New Roman" w:eastAsia="仿宋_GB2312" w:cs="Times New Roman"/>
          <w:spacing w:val="16"/>
          <w:sz w:val="34"/>
          <w:szCs w:val="34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16"/>
          <w:sz w:val="34"/>
          <w:szCs w:val="34"/>
          <w:lang w:val="en-US" w:eastAsia="zh-CN"/>
        </w:rPr>
        <w:t>淄博经济开发区成立于1992年；2015年开始实体运行； 2020年4月，管辖范围由周村区北郊镇调整至主城区南部区域，辖区面积149平方公里，</w:t>
      </w:r>
      <w:r>
        <w:rPr>
          <w:rFonts w:hint="eastAsia" w:ascii="Times New Roman" w:hAnsi="Times New Roman" w:eastAsia="仿宋_GB2312" w:cs="Times New Roman"/>
          <w:spacing w:val="16"/>
          <w:sz w:val="34"/>
          <w:szCs w:val="34"/>
          <w:lang w:val="en-US" w:eastAsia="zh-CN"/>
        </w:rPr>
        <w:t>下</w:t>
      </w:r>
      <w:r>
        <w:rPr>
          <w:rFonts w:hint="default" w:ascii="Times New Roman" w:hAnsi="Times New Roman" w:eastAsia="仿宋_GB2312" w:cs="Times New Roman"/>
          <w:spacing w:val="16"/>
          <w:sz w:val="34"/>
          <w:szCs w:val="34"/>
          <w:lang w:val="en-US" w:eastAsia="zh-CN"/>
        </w:rPr>
        <w:t>辖南定镇、傅家镇、沣水镇3个镇，共91个村、21个城市社区，常住人口27.8万人</w:t>
      </w:r>
      <w:r>
        <w:rPr>
          <w:rFonts w:hint="eastAsia" w:ascii="Times New Roman" w:hAnsi="Times New Roman" w:eastAsia="仿宋_GB2312" w:cs="Times New Roman"/>
          <w:spacing w:val="16"/>
          <w:sz w:val="34"/>
          <w:szCs w:val="34"/>
          <w:lang w:val="en-US" w:eastAsia="zh-CN"/>
        </w:rPr>
        <w:t>，基层党组织492个、党员14216人</w:t>
      </w:r>
      <w:r>
        <w:rPr>
          <w:rFonts w:hint="default" w:ascii="Times New Roman" w:hAnsi="Times New Roman" w:eastAsia="仿宋_GB2312" w:cs="Times New Roman"/>
          <w:spacing w:val="16"/>
          <w:sz w:val="34"/>
          <w:szCs w:val="34"/>
          <w:lang w:val="en-US" w:eastAsia="zh-CN"/>
        </w:rPr>
        <w:t>。划转后，市委市政府给经开区的定位是打造</w:t>
      </w:r>
      <w:r>
        <w:rPr>
          <w:rFonts w:hint="eastAsia" w:ascii="Times New Roman" w:hAnsi="Times New Roman" w:eastAsia="仿宋_GB2312" w:cs="Times New Roman"/>
          <w:spacing w:val="16"/>
          <w:sz w:val="34"/>
          <w:szCs w:val="34"/>
          <w:lang w:val="en-US" w:eastAsia="zh-CN"/>
        </w:rPr>
        <w:t>淄博</w:t>
      </w:r>
      <w:r>
        <w:rPr>
          <w:rFonts w:hint="default" w:ascii="Times New Roman" w:hAnsi="Times New Roman" w:eastAsia="仿宋_GB2312" w:cs="Times New Roman"/>
          <w:spacing w:val="16"/>
          <w:sz w:val="34"/>
          <w:szCs w:val="34"/>
          <w:lang w:val="en-US" w:eastAsia="zh-CN"/>
        </w:rPr>
        <w:t>的未来之城、绿色之城、活力之城和产业新城。因所辖区域是淄博区老工业城市班底，原来以氧化铝、建陶等传统产业为主，自去年以来，根据老工业城市转型升级要求，重新确定了智能制造、新能源新材料、数字经济三大主导产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2" w:lineRule="auto"/>
        <w:ind w:firstLine="744" w:firstLineChars="200"/>
        <w:textAlignment w:val="auto"/>
        <w:rPr>
          <w:rFonts w:hint="default" w:ascii="Times New Roman" w:hAnsi="Times New Roman" w:eastAsia="仿宋_GB2312" w:cs="Times New Roman"/>
          <w:spacing w:val="16"/>
          <w:sz w:val="34"/>
          <w:szCs w:val="34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16"/>
          <w:sz w:val="34"/>
          <w:szCs w:val="34"/>
          <w:lang w:val="en-US" w:eastAsia="zh-CN"/>
        </w:rPr>
        <w:t>2022年以来，经开区工委、管委会坚决贯彻落实市委、市政府“3510”发展目标、“强富美优”城市愿景，围绕“1333”发展思路，紧跟时代步伐、顺应实践发展，不断进行前瞻性思考、全局性谋划，在加速起跑中“理思路、打基础，搭平台、建机制，塑体系、淬本领”，许多领域实现系统性重塑、整体性重构，适应经开区发展的体制一新、结构一新、格局一新、面貌一新，全区经济社会高质量发展发生趋势性、关键性转变。全年一般公共预算收入完成10.56亿元，同比增长10.65%，增速全市排名第2；固定资产投资完成100亿元，同比增长71%以上，增速全市排名第1；多项经济指标增速高于全市平均水平。主要干了4件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2" w:lineRule="auto"/>
        <w:ind w:firstLine="744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napToGrid w:val="0"/>
          <w:spacing w:val="16"/>
          <w:kern w:val="0"/>
          <w:sz w:val="34"/>
          <w:szCs w:val="3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napToGrid w:val="0"/>
          <w:spacing w:val="16"/>
          <w:kern w:val="0"/>
          <w:sz w:val="34"/>
          <w:szCs w:val="34"/>
          <w:lang w:val="en-US" w:eastAsia="zh-CN"/>
        </w:rPr>
        <w:t>一、腾出区域发展跃迁空间，启动万亩土地开发建设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2" w:lineRule="auto"/>
        <w:ind w:firstLine="744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 w:val="0"/>
          <w:spacing w:val="16"/>
          <w:kern w:val="0"/>
          <w:sz w:val="34"/>
          <w:szCs w:val="34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16"/>
          <w:kern w:val="0"/>
          <w:sz w:val="34"/>
          <w:szCs w:val="34"/>
          <w:lang w:val="en-US" w:eastAsia="zh-CN"/>
        </w:rPr>
        <w:t>按照“东产、西城、北商、南园”的总体布局，启动14个片区的精准拆迁，腾空土地6150亩，形成1.5万亩的发展空间。主动嫁接中建八局、中铁十四局等国字号、省字号城市合伙人参与开发建设。全面铺开“三区”建设，已开工建设科创中心，已完成乐居湾产城融合城市更新项目招标。持续推进“两域”生态提升，基本完成孝妇河沿线景观廊带建设，启动漫泗河整治提升工程。聚力打造淄河大道特色产业廊带，沿淄河大道布局30余个特色产业园区。2022年，策划总投资600亿元的97个项目，实际到位资金85亿元，同比增长107%。在建施工面积同比增长130%、达到613万平方米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2" w:lineRule="auto"/>
        <w:ind w:firstLine="744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napToGrid w:val="0"/>
          <w:spacing w:val="16"/>
          <w:kern w:val="0"/>
          <w:sz w:val="34"/>
          <w:szCs w:val="3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napToGrid w:val="0"/>
          <w:spacing w:val="16"/>
          <w:kern w:val="0"/>
          <w:sz w:val="34"/>
          <w:szCs w:val="34"/>
          <w:lang w:val="en-US" w:eastAsia="zh-CN"/>
        </w:rPr>
        <w:t>找准主导产业发展路径，打造细分领域承载平台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2" w:lineRule="auto"/>
        <w:ind w:firstLine="744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 w:val="0"/>
          <w:spacing w:val="16"/>
          <w:kern w:val="0"/>
          <w:sz w:val="34"/>
          <w:szCs w:val="34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16"/>
          <w:kern w:val="0"/>
          <w:sz w:val="34"/>
          <w:szCs w:val="34"/>
          <w:lang w:val="en-US" w:eastAsia="zh-CN"/>
        </w:rPr>
        <w:t>既紧盯未来产业，又立足自身优势，科学谋划了24个专业专业园区，逐步明确三大主导产业细分领域和支撑性项目。聚焦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16"/>
          <w:kern w:val="0"/>
          <w:sz w:val="34"/>
          <w:szCs w:val="34"/>
          <w:lang w:val="en-US" w:eastAsia="zh-CN"/>
        </w:rPr>
        <w:t>医疗器械、智能制造、机器人制造等细分领域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16"/>
          <w:kern w:val="0"/>
          <w:sz w:val="34"/>
          <w:szCs w:val="34"/>
          <w:lang w:val="en-US" w:eastAsia="zh-CN"/>
        </w:rPr>
        <w:t>，打造以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16"/>
          <w:kern w:val="0"/>
          <w:sz w:val="34"/>
          <w:szCs w:val="34"/>
          <w:lang w:val="en-US" w:eastAsia="zh-CN"/>
        </w:rPr>
        <w:t>北方医疗器械产业城、阿特拉斯产业园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16"/>
          <w:kern w:val="0"/>
          <w:sz w:val="34"/>
          <w:szCs w:val="34"/>
          <w:lang w:val="en-US" w:eastAsia="zh-CN"/>
        </w:rPr>
        <w:t>等17个产业园区为平台载体的百亿级先进制造产业集群。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16"/>
          <w:kern w:val="0"/>
          <w:sz w:val="34"/>
          <w:szCs w:val="34"/>
          <w:lang w:val="en-US" w:eastAsia="zh-CN"/>
        </w:rPr>
        <w:t>聚焦铝基新材料、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16"/>
          <w:kern w:val="0"/>
          <w:sz w:val="34"/>
          <w:szCs w:val="34"/>
          <w:lang w:val="en-US" w:eastAsia="zh-CN"/>
        </w:rPr>
        <w:t>精细氧化铝、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16"/>
          <w:kern w:val="0"/>
          <w:sz w:val="34"/>
          <w:szCs w:val="34"/>
          <w:lang w:val="en-US" w:eastAsia="zh-CN"/>
        </w:rPr>
        <w:t>储能等细分领域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16"/>
          <w:kern w:val="0"/>
          <w:sz w:val="34"/>
          <w:szCs w:val="34"/>
          <w:lang w:val="en-US" w:eastAsia="zh-CN"/>
        </w:rPr>
        <w:t>，打造以新能源产业园等3个产业园区为平台载体的百亿级新能源新材料产业集群。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16"/>
          <w:kern w:val="0"/>
          <w:sz w:val="34"/>
          <w:szCs w:val="34"/>
          <w:lang w:val="en-US" w:eastAsia="zh-CN"/>
        </w:rPr>
        <w:t>聚焦数据标注、算力应用、IPv6、电子商务等细分领域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16"/>
          <w:kern w:val="0"/>
          <w:sz w:val="34"/>
          <w:szCs w:val="34"/>
          <w:lang w:val="en-US" w:eastAsia="zh-CN"/>
        </w:rPr>
        <w:t>，打造以黄三角数字经济生态园、数科中心等4个产业园区为平台载体的百亿级数字经济产业集群。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16"/>
          <w:kern w:val="0"/>
          <w:sz w:val="34"/>
          <w:szCs w:val="34"/>
          <w:lang w:val="en-US" w:eastAsia="zh-CN"/>
        </w:rPr>
        <w:t>目前，规划建设的2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16"/>
          <w:kern w:val="0"/>
          <w:sz w:val="34"/>
          <w:szCs w:val="34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16"/>
          <w:kern w:val="0"/>
          <w:sz w:val="34"/>
          <w:szCs w:val="34"/>
          <w:lang w:val="en-US" w:eastAsia="zh-CN"/>
        </w:rPr>
        <w:t>个园区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16"/>
          <w:kern w:val="0"/>
          <w:sz w:val="34"/>
          <w:szCs w:val="34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16"/>
          <w:kern w:val="0"/>
          <w:sz w:val="34"/>
          <w:szCs w:val="34"/>
          <w:lang w:val="en-US" w:eastAsia="zh-CN"/>
        </w:rPr>
        <w:t>全部建成后，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16"/>
          <w:kern w:val="0"/>
          <w:sz w:val="34"/>
          <w:szCs w:val="34"/>
          <w:lang w:val="en-US" w:eastAsia="zh-CN"/>
        </w:rPr>
        <w:t>将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16"/>
          <w:kern w:val="0"/>
          <w:sz w:val="34"/>
          <w:szCs w:val="34"/>
          <w:lang w:val="en-US" w:eastAsia="zh-CN"/>
        </w:rPr>
        <w:t>形成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16"/>
          <w:kern w:val="0"/>
          <w:sz w:val="34"/>
          <w:szCs w:val="34"/>
          <w:lang w:val="en-US" w:eastAsia="zh-CN"/>
        </w:rPr>
        <w:t>400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16"/>
          <w:kern w:val="0"/>
          <w:sz w:val="34"/>
          <w:szCs w:val="34"/>
          <w:lang w:val="en-US" w:eastAsia="zh-CN"/>
        </w:rPr>
        <w:t>万平米的产业空间。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2" w:lineRule="auto"/>
        <w:ind w:left="0" w:leftChars="0" w:firstLine="744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napToGrid w:val="0"/>
          <w:spacing w:val="16"/>
          <w:kern w:val="0"/>
          <w:sz w:val="34"/>
          <w:szCs w:val="3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napToGrid w:val="0"/>
          <w:spacing w:val="16"/>
          <w:kern w:val="0"/>
          <w:sz w:val="34"/>
          <w:szCs w:val="34"/>
          <w:lang w:val="en-US" w:eastAsia="zh-CN"/>
        </w:rPr>
        <w:t>深化招商体制改革，放大“朋友圈”招商效应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2" w:lineRule="auto"/>
        <w:ind w:firstLine="744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16"/>
          <w:kern w:val="0"/>
          <w:sz w:val="34"/>
          <w:szCs w:val="34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16"/>
          <w:kern w:val="0"/>
          <w:sz w:val="34"/>
          <w:szCs w:val="34"/>
          <w:lang w:val="en-US" w:eastAsia="zh-CN"/>
        </w:rPr>
        <w:t>优化运营模式，以平台公司为市场开发建设主体，设立总投资57.8亿元的8支产业基金，目前，已投资12家企业，在上海证券交易所发行10亿元债券。重塑工作流程，创新建立“招建一体”新机制，无缝串联项目洽谈、落地、运行等9个环节。突出市场化、专业化，依托商汤科技、国博声学等一批龙头企业，借力中关村、上海产业合作促进中心等一批专业运营商，链接伽利略资本、盈科资本等一批国内顶级基金公司、投资公司，导入40家国内龙头企业和头部企业。2022年，共洽谈项目318个，签约落地项目90个，重点储备项目138个。特别是在新入驻企业和项目实施主体中，有国家级专精特新“小巨人”企业45家、瞪羚企业15家、国家级高新技术企业35家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2" w:lineRule="auto"/>
        <w:ind w:left="0" w:leftChars="0" w:firstLine="744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napToGrid w:val="0"/>
          <w:spacing w:val="16"/>
          <w:kern w:val="0"/>
          <w:sz w:val="34"/>
          <w:szCs w:val="3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napToGrid w:val="0"/>
          <w:spacing w:val="16"/>
          <w:kern w:val="0"/>
          <w:sz w:val="34"/>
          <w:szCs w:val="34"/>
          <w:lang w:val="en-US" w:eastAsia="zh-CN"/>
        </w:rPr>
        <w:t>聚焦城市能级提升，加快推动公共配套焕新升级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2" w:lineRule="auto"/>
        <w:ind w:firstLine="744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16"/>
          <w:kern w:val="0"/>
          <w:sz w:val="34"/>
          <w:szCs w:val="34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16"/>
          <w:kern w:val="0"/>
          <w:sz w:val="34"/>
          <w:szCs w:val="34"/>
          <w:lang w:val="en-US" w:eastAsia="zh-CN"/>
        </w:rPr>
        <w:t>聚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16"/>
          <w:kern w:val="0"/>
          <w:sz w:val="34"/>
          <w:szCs w:val="34"/>
          <w:lang w:val="en-US" w:eastAsia="zh-CN"/>
        </w:rPr>
        <w:t>力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16"/>
          <w:kern w:val="0"/>
          <w:sz w:val="34"/>
          <w:szCs w:val="34"/>
          <w:lang w:val="en-US" w:eastAsia="zh-CN"/>
        </w:rPr>
        <w:t>打造适应未来发展、链接省会经济圈的重要枢纽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16"/>
          <w:kern w:val="0"/>
          <w:sz w:val="34"/>
          <w:szCs w:val="34"/>
          <w:lang w:val="en-US" w:eastAsia="zh-CN"/>
        </w:rPr>
        <w:t>，打通贯通东西、联通南北的路网大循环体系，完成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16"/>
          <w:kern w:val="0"/>
          <w:sz w:val="34"/>
          <w:szCs w:val="34"/>
          <w:lang w:val="en-US" w:eastAsia="zh-CN"/>
        </w:rPr>
        <w:t>总投资30亿元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16"/>
          <w:kern w:val="0"/>
          <w:sz w:val="34"/>
          <w:szCs w:val="34"/>
          <w:lang w:val="en-US" w:eastAsia="zh-CN"/>
        </w:rPr>
        <w:t>的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16"/>
          <w:kern w:val="0"/>
          <w:sz w:val="34"/>
          <w:szCs w:val="34"/>
          <w:lang w:val="en-US" w:eastAsia="zh-CN"/>
        </w:rPr>
        <w:t>海岱大道东延、淄河大道东延、湖南路提升改造等24个路网项目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16"/>
          <w:kern w:val="0"/>
          <w:sz w:val="34"/>
          <w:szCs w:val="34"/>
          <w:lang w:val="en-US" w:eastAsia="zh-CN"/>
        </w:rPr>
        <w:t>的建设。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16"/>
          <w:kern w:val="0"/>
          <w:sz w:val="34"/>
          <w:szCs w:val="34"/>
          <w:lang w:val="en-US" w:eastAsia="zh-CN"/>
        </w:rPr>
        <w:t>坚持产业发展与民生事业相辅而行、相倚而立，全面启动教育、卫生、民政等</w:t>
      </w: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16"/>
          <w:kern w:val="0"/>
          <w:sz w:val="34"/>
          <w:szCs w:val="34"/>
          <w:lang w:val="en-US" w:eastAsia="zh-CN"/>
        </w:rPr>
        <w:t>“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16"/>
          <w:kern w:val="0"/>
          <w:sz w:val="34"/>
          <w:szCs w:val="34"/>
          <w:lang w:val="en-US" w:eastAsia="zh-CN"/>
        </w:rPr>
        <w:t>未来之城</w:t>
      </w:r>
      <w:r>
        <w:rPr>
          <w:rFonts w:hint="default" w:ascii="仿宋_GB2312" w:hAnsi="仿宋_GB2312" w:eastAsia="仿宋_GB2312" w:cs="仿宋_GB2312"/>
          <w:b w:val="0"/>
          <w:bCs w:val="0"/>
          <w:snapToGrid w:val="0"/>
          <w:spacing w:val="16"/>
          <w:kern w:val="0"/>
          <w:sz w:val="34"/>
          <w:szCs w:val="34"/>
          <w:lang w:val="en-US" w:eastAsia="zh-CN"/>
        </w:rPr>
        <w:t>”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spacing w:val="16"/>
          <w:kern w:val="0"/>
          <w:sz w:val="34"/>
          <w:szCs w:val="34"/>
          <w:lang w:val="en-US" w:eastAsia="zh-CN"/>
        </w:rPr>
        <w:t>软件“四梁八柱”建设工程。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16"/>
          <w:kern w:val="0"/>
          <w:sz w:val="34"/>
          <w:szCs w:val="34"/>
          <w:lang w:val="en-US" w:eastAsia="zh-CN"/>
        </w:rPr>
        <w:t>注重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16"/>
          <w:kern w:val="0"/>
          <w:sz w:val="34"/>
          <w:szCs w:val="34"/>
          <w:lang w:val="en-US" w:eastAsia="zh-CN" w:bidi="ar-SA"/>
        </w:rPr>
        <w:t>基础提升和内涵增效，市区累计投入3亿元，新建市十七中学，新建中小学和幼儿园5所、新增学位8880个，对8所中小学校进行改造提升。</w:t>
      </w:r>
      <w:r>
        <w:rPr>
          <w:rFonts w:hint="default" w:ascii="Times New Roman" w:hAnsi="Times New Roman" w:eastAsia="仿宋_GB2312" w:cs="Times New Roman"/>
          <w:spacing w:val="12"/>
          <w:sz w:val="34"/>
          <w:szCs w:val="34"/>
          <w:lang w:val="en-US" w:eastAsia="zh-CN"/>
        </w:rPr>
        <w:t>突出市场化运作和教育资源沿链聚链，持续加强与山大基础教育集团、北大培文、山东附中合作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spacing w:val="16"/>
          <w:kern w:val="0"/>
          <w:sz w:val="34"/>
          <w:szCs w:val="34"/>
          <w:lang w:val="en-US" w:eastAsia="zh-CN" w:bidi="ar-SA"/>
        </w:rPr>
        <w:t>，以集团化办学模式赋能教育品质提升，先后举办培训班12次、谋划5所学校合作办学，形成全学段优质教育链，搭建起未来高品质教育矩阵雏形。突出梯次设置、资源扩容，创新组建北大医疗淄博医院—经开区医院医共体，积极导入北京奈特瑞、鹿鹿通等互联网医疗资源，链接特色专科医院，实现“资源共享、共同发展”。</w:t>
      </w:r>
    </w:p>
    <w:sectPr>
      <w:footerReference r:id="rId3" w:type="default"/>
      <w:pgSz w:w="11906" w:h="16838"/>
      <w:pgMar w:top="2098" w:right="1417" w:bottom="1701" w:left="1474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val="en-US" w:eastAsia="zh-CN"/>
                            </w:rPr>
                            <w:t xml:space="preserve">  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val="en-US" w:eastAsia="zh-CN"/>
                            </w:rPr>
                            <w:t xml:space="preserve">  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val="en-US" w:eastAsia="zh-CN"/>
                      </w:rPr>
                      <w:t xml:space="preserve">  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val="en-US" w:eastAsia="zh-CN"/>
                      </w:rPr>
                      <w:t xml:space="preserve">  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8DB7CF"/>
    <w:multiLevelType w:val="singleLevel"/>
    <w:tmpl w:val="EE8DB7C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xMzZhNzJkZjM3NGIzYTk1MjA0OTc1ZjllZjQ2YmYifQ=="/>
  </w:docVars>
  <w:rsids>
    <w:rsidRoot w:val="00000000"/>
    <w:rsid w:val="00245594"/>
    <w:rsid w:val="01260E98"/>
    <w:rsid w:val="05145BD8"/>
    <w:rsid w:val="05467D5B"/>
    <w:rsid w:val="0F1D51E7"/>
    <w:rsid w:val="131719EC"/>
    <w:rsid w:val="13E470BD"/>
    <w:rsid w:val="142B6A9A"/>
    <w:rsid w:val="144162BD"/>
    <w:rsid w:val="17C50FB3"/>
    <w:rsid w:val="19D92AF4"/>
    <w:rsid w:val="1A2F3E95"/>
    <w:rsid w:val="208F7CF0"/>
    <w:rsid w:val="2346744C"/>
    <w:rsid w:val="23C91E2B"/>
    <w:rsid w:val="29494232"/>
    <w:rsid w:val="29B669AE"/>
    <w:rsid w:val="2A3224D8"/>
    <w:rsid w:val="2A3A138D"/>
    <w:rsid w:val="2AF97591"/>
    <w:rsid w:val="325D030E"/>
    <w:rsid w:val="33B0446E"/>
    <w:rsid w:val="340F388A"/>
    <w:rsid w:val="37D4084D"/>
    <w:rsid w:val="37EF1A09"/>
    <w:rsid w:val="38545D10"/>
    <w:rsid w:val="39873EC3"/>
    <w:rsid w:val="3B5C3769"/>
    <w:rsid w:val="3C236125"/>
    <w:rsid w:val="3CAF455D"/>
    <w:rsid w:val="3D3879AE"/>
    <w:rsid w:val="3E5A1BA6"/>
    <w:rsid w:val="40BE466E"/>
    <w:rsid w:val="43F059B8"/>
    <w:rsid w:val="4D387556"/>
    <w:rsid w:val="4D572905"/>
    <w:rsid w:val="4E5C7274"/>
    <w:rsid w:val="521A722A"/>
    <w:rsid w:val="52B07B8F"/>
    <w:rsid w:val="53424E61"/>
    <w:rsid w:val="54413194"/>
    <w:rsid w:val="56ED13B1"/>
    <w:rsid w:val="5C693288"/>
    <w:rsid w:val="5E5C6DF2"/>
    <w:rsid w:val="5EDF5C2E"/>
    <w:rsid w:val="60786190"/>
    <w:rsid w:val="63974B7F"/>
    <w:rsid w:val="65E47795"/>
    <w:rsid w:val="68DB72BC"/>
    <w:rsid w:val="6AA3205B"/>
    <w:rsid w:val="6B9A3106"/>
    <w:rsid w:val="6BD12BF8"/>
    <w:rsid w:val="6C496C32"/>
    <w:rsid w:val="7157481C"/>
    <w:rsid w:val="716C7643"/>
    <w:rsid w:val="73FC4DBD"/>
    <w:rsid w:val="77B5517C"/>
    <w:rsid w:val="797F5A41"/>
    <w:rsid w:val="798E037A"/>
    <w:rsid w:val="7A44047D"/>
    <w:rsid w:val="7B89704B"/>
    <w:rsid w:val="7C9D46F4"/>
    <w:rsid w:val="7CFB5D27"/>
    <w:rsid w:val="7FBD17DE"/>
    <w:rsid w:val="7FC52BB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line="445" w:lineRule="exact"/>
      <w:ind w:left="593" w:right="694"/>
      <w:jc w:val="center"/>
      <w:outlineLvl w:val="0"/>
    </w:pPr>
    <w:rPr>
      <w:rFonts w:ascii="方正小标宋_GBK" w:hAnsi="方正小标宋_GBK" w:eastAsia="方正小标宋_GBK" w:cs="方正小标宋_GBK"/>
      <w:sz w:val="41"/>
      <w:szCs w:val="41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jc w:val="center"/>
    </w:pPr>
    <w:rPr>
      <w:rFonts w:ascii="宋体"/>
      <w:sz w:val="4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oc 1"/>
    <w:basedOn w:val="1"/>
    <w:next w:val="1"/>
    <w:qFormat/>
    <w:uiPriority w:val="0"/>
  </w:style>
  <w:style w:type="paragraph" w:styleId="8">
    <w:name w:val="Body Text First Indent"/>
    <w:basedOn w:val="4"/>
    <w:qFormat/>
    <w:uiPriority w:val="0"/>
    <w:pPr>
      <w:ind w:firstLine="420" w:firstLineChars="100"/>
    </w:pPr>
  </w:style>
  <w:style w:type="character" w:styleId="11">
    <w:name w:val="page number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1803</Words>
  <Characters>1900</Characters>
  <Lines>0</Lines>
  <Paragraphs>0</Paragraphs>
  <TotalTime>216</TotalTime>
  <ScaleCrop>false</ScaleCrop>
  <LinksUpToDate>false</LinksUpToDate>
  <CharactersWithSpaces>1901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淡琪然</cp:lastModifiedBy>
  <cp:lastPrinted>2023-03-06T03:03:00Z</cp:lastPrinted>
  <dcterms:modified xsi:type="dcterms:W3CDTF">2023-05-16T08:09:59Z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8922454341B74B4C8DD3CA616C0B96A1</vt:lpwstr>
  </property>
</Properties>
</file>