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default" w:ascii="仿宋_GB2312" w:hAnsi="仿宋_GB2312" w:eastAsia="仿宋_GB2312" w:cs="仿宋_GB2312"/>
          <w:sz w:val="28"/>
          <w:szCs w:val="36"/>
          <w:lang w:val="en-US" w:eastAsia="zh-CN"/>
        </w:rPr>
        <w:t>博山区产业相关情况：近现代工业自1904年起步，上世纪五十年代起，国家和省市依托博山丰富的煤炭、陶土、焦宝石等资源，陆续在博山建设资源型企业以及上下游配套的国有大中型企业近40家，国内第一辆双层巴士、第一台齿轮减速三相异步电动机、第一台履带车辆电机在博山生产。近年来，博山坚持工业立区、工业强区不动摇，深入实施“双招双引”“四换三名”“技术改造突破年”等一系列重大工程，积极探索“亩均论英雄”改革，全力推动新旧动能转换，工业转型升级迈出坚实步伐。目前已形成机电泵业、汽车部件、新型材料、健康医药等主导产业，规划建设了机电泵、汽车智造、健康医药、新材料、氢能源、数字经济、铸造、陶瓷琉璃、预制食品9个特色产业园区，创造了机电泵、陶琉等10个省级以上优质产品生产基地，成长起了金晶、东佳、佶缔纳士、华成等一批龙头企业，引进了爱德曼氢能源、上海声通云计算大数据中心等一批优质项目，氢能源、数字经济等新经济、新业态开始起势。全区规模以上工业企业217家，被确定为国家火炬计划泵类产业基地、山东省高端装备制造产业基地、山东省节能环保产业示范基地、山东省优质泵类产品生产基地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6C1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2023-05-16T08:24:59Z</dcterms:created>
  <dc:creator>Lenovo0</dc:creator>
  <cp:lastModifiedBy>Lenovo0</cp:lastModifiedBy>
  <dcterms:modified xsi:type="dcterms:W3CDTF">2023-05-16T08:25:14Z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